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77705" w14:textId="11809DFD" w:rsidR="002E3820" w:rsidRDefault="002E3820" w:rsidP="002E3820">
      <w:pPr>
        <w:pStyle w:val="Encabezado"/>
        <w:tabs>
          <w:tab w:val="left" w:pos="2520"/>
        </w:tabs>
        <w:ind w:right="4"/>
        <w:contextualSpacing/>
        <w:jc w:val="right"/>
        <w:rPr>
          <w:rFonts w:ascii="Arial" w:hAnsi="Arial" w:cs="Arial"/>
          <w:b/>
          <w:smallCaps/>
        </w:rPr>
      </w:pPr>
      <w:bookmarkStart w:id="0" w:name="_GoBack"/>
      <w:bookmarkEnd w:id="0"/>
      <w:r w:rsidRPr="00390BAA">
        <w:rPr>
          <w:rFonts w:ascii="Arial" w:hAnsi="Arial" w:cs="Arial"/>
          <w:b/>
          <w:smallCaps/>
          <w:color w:val="000000" w:themeColor="text1"/>
        </w:rPr>
        <w:t>Dirección de Estado Abierto, Estudios y Evaluación</w:t>
      </w:r>
    </w:p>
    <w:p w14:paraId="379DC43F" w14:textId="39E3FA3E" w:rsidR="002E3820" w:rsidRPr="003909E2" w:rsidRDefault="002E3820" w:rsidP="002E3820">
      <w:pPr>
        <w:spacing w:before="120" w:after="0" w:line="240" w:lineRule="auto"/>
        <w:ind w:right="6"/>
        <w:jc w:val="right"/>
        <w:rPr>
          <w:rFonts w:ascii="Arial" w:hAnsi="Arial" w:cs="Arial"/>
          <w:sz w:val="20"/>
          <w:szCs w:val="20"/>
        </w:rPr>
      </w:pPr>
      <w:r w:rsidRPr="003909E2">
        <w:rPr>
          <w:rFonts w:ascii="Arial" w:hAnsi="Arial" w:cs="Arial"/>
          <w:sz w:val="20"/>
          <w:szCs w:val="20"/>
        </w:rPr>
        <w:t xml:space="preserve">Ciudad de México, </w:t>
      </w:r>
      <w:r w:rsidR="001E68BC">
        <w:rPr>
          <w:rFonts w:ascii="Arial" w:hAnsi="Arial" w:cs="Arial"/>
          <w:sz w:val="20"/>
          <w:szCs w:val="20"/>
        </w:rPr>
        <w:t>24</w:t>
      </w:r>
      <w:r w:rsidRPr="003909E2">
        <w:rPr>
          <w:rFonts w:ascii="Arial" w:hAnsi="Arial" w:cs="Arial"/>
          <w:sz w:val="20"/>
          <w:szCs w:val="20"/>
        </w:rPr>
        <w:t xml:space="preserve"> de marzo de 2020</w:t>
      </w:r>
    </w:p>
    <w:p w14:paraId="3A7E7F07" w14:textId="77777777" w:rsidR="002E3820" w:rsidRDefault="002E3820" w:rsidP="002E38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7931"/>
      </w:tblGrid>
      <w:tr w:rsidR="002E3820" w14:paraId="0E95067B" w14:textId="77777777" w:rsidTr="00AB503F">
        <w:tc>
          <w:tcPr>
            <w:tcW w:w="9341" w:type="dxa"/>
            <w:gridSpan w:val="2"/>
            <w:shd w:val="clear" w:color="auto" w:fill="F2F2F2"/>
            <w:vAlign w:val="center"/>
          </w:tcPr>
          <w:p w14:paraId="21DBF6BA" w14:textId="715EFE82" w:rsidR="002E3820" w:rsidRPr="002E3820" w:rsidRDefault="003955A0" w:rsidP="003955A0">
            <w:pPr>
              <w:jc w:val="center"/>
              <w:rPr>
                <w:rFonts w:ascii="Arial Narrow" w:eastAsia="Arial" w:hAnsi="Arial Narrow" w:cs="Arial"/>
                <w:b/>
              </w:rPr>
            </w:pPr>
            <w:bookmarkStart w:id="1" w:name="_heading=h.2fwazc2qb3nq" w:colFirst="0" w:colLast="0"/>
            <w:bookmarkStart w:id="2" w:name="_heading=h.j0f27mkibakt" w:colFirst="0" w:colLast="0"/>
            <w:bookmarkEnd w:id="1"/>
            <w:bookmarkEnd w:id="2"/>
            <w:r>
              <w:rPr>
                <w:rFonts w:ascii="Arial Narrow" w:eastAsia="Arial" w:hAnsi="Arial Narrow" w:cs="Arial"/>
                <w:b/>
              </w:rPr>
              <w:t>Conferencia</w:t>
            </w:r>
            <w:r w:rsidR="00401E41">
              <w:rPr>
                <w:rFonts w:ascii="Arial Narrow" w:eastAsia="Arial" w:hAnsi="Arial Narrow" w:cs="Arial"/>
                <w:b/>
              </w:rPr>
              <w:t>s</w:t>
            </w:r>
            <w:r>
              <w:rPr>
                <w:rFonts w:ascii="Arial Narrow" w:eastAsia="Arial" w:hAnsi="Arial Narrow" w:cs="Arial"/>
                <w:b/>
              </w:rPr>
              <w:t xml:space="preserve"> de Prensa </w:t>
            </w:r>
            <w:r w:rsidR="00401E41">
              <w:rPr>
                <w:rFonts w:ascii="Arial Narrow" w:eastAsia="Arial" w:hAnsi="Arial Narrow" w:cs="Arial"/>
                <w:b/>
              </w:rPr>
              <w:t xml:space="preserve">matutina y </w:t>
            </w:r>
            <w:r>
              <w:rPr>
                <w:rFonts w:ascii="Arial Narrow" w:eastAsia="Arial" w:hAnsi="Arial Narrow" w:cs="Arial"/>
                <w:b/>
              </w:rPr>
              <w:t xml:space="preserve">vespertina </w:t>
            </w:r>
            <w:r w:rsidR="002E3820" w:rsidRPr="002E3820">
              <w:rPr>
                <w:rFonts w:ascii="Arial Narrow" w:eastAsia="Arial" w:hAnsi="Arial Narrow" w:cs="Arial"/>
                <w:b/>
              </w:rPr>
              <w:t xml:space="preserve">COVID-19 </w:t>
            </w:r>
            <w:r w:rsidR="00401E41">
              <w:rPr>
                <w:rFonts w:ascii="Arial Narrow" w:eastAsia="Arial" w:hAnsi="Arial Narrow" w:cs="Arial"/>
                <w:b/>
              </w:rPr>
              <w:t xml:space="preserve">Presidencia / </w:t>
            </w:r>
            <w:r>
              <w:rPr>
                <w:rFonts w:ascii="Arial Narrow" w:eastAsia="Arial" w:hAnsi="Arial Narrow" w:cs="Arial"/>
                <w:b/>
              </w:rPr>
              <w:t>Secretaría de Salud del Gobierno Federal</w:t>
            </w:r>
          </w:p>
        </w:tc>
      </w:tr>
      <w:tr w:rsidR="002E3820" w14:paraId="678CEAD3" w14:textId="77777777" w:rsidTr="00AB503F">
        <w:tc>
          <w:tcPr>
            <w:tcW w:w="1410" w:type="dxa"/>
            <w:vAlign w:val="center"/>
          </w:tcPr>
          <w:p w14:paraId="0626460C" w14:textId="77777777" w:rsidR="002E3820" w:rsidRPr="002E3820" w:rsidRDefault="002E3820" w:rsidP="001E68BC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2E3820">
              <w:rPr>
                <w:rFonts w:ascii="Arial Narrow" w:eastAsia="Arial" w:hAnsi="Arial Narrow" w:cs="Arial"/>
                <w:b/>
              </w:rPr>
              <w:t>Fecha:</w:t>
            </w:r>
          </w:p>
        </w:tc>
        <w:tc>
          <w:tcPr>
            <w:tcW w:w="7931" w:type="dxa"/>
            <w:vAlign w:val="center"/>
          </w:tcPr>
          <w:p w14:paraId="0559F807" w14:textId="26C6C003" w:rsidR="002E3820" w:rsidRPr="002E3820" w:rsidRDefault="001E68BC" w:rsidP="001E68BC">
            <w:pPr>
              <w:spacing w:line="276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24</w:t>
            </w:r>
            <w:r w:rsidR="002E3820" w:rsidRPr="002E3820">
              <w:rPr>
                <w:rFonts w:ascii="Arial Narrow" w:eastAsia="Arial" w:hAnsi="Arial Narrow" w:cs="Arial"/>
              </w:rPr>
              <w:t xml:space="preserve"> de marzo de 2020.</w:t>
            </w:r>
            <w:r w:rsidR="003955A0">
              <w:rPr>
                <w:rFonts w:ascii="Arial Narrow" w:eastAsia="Arial" w:hAnsi="Arial Narrow" w:cs="Arial"/>
              </w:rPr>
              <w:t xml:space="preserve"> </w:t>
            </w:r>
            <w:r w:rsidR="00401E41">
              <w:rPr>
                <w:rFonts w:ascii="Arial Narrow" w:eastAsia="Arial" w:hAnsi="Arial Narrow" w:cs="Arial"/>
              </w:rPr>
              <w:t xml:space="preserve">07:00 y </w:t>
            </w:r>
            <w:r w:rsidR="003955A0">
              <w:rPr>
                <w:rFonts w:ascii="Arial Narrow" w:eastAsia="Arial" w:hAnsi="Arial Narrow" w:cs="Arial"/>
              </w:rPr>
              <w:t>19:00 horas.</w:t>
            </w:r>
          </w:p>
        </w:tc>
      </w:tr>
      <w:tr w:rsidR="002E3820" w14:paraId="68A2FE97" w14:textId="77777777" w:rsidTr="00AB503F">
        <w:tc>
          <w:tcPr>
            <w:tcW w:w="1410" w:type="dxa"/>
            <w:vAlign w:val="center"/>
          </w:tcPr>
          <w:p w14:paraId="24198908" w14:textId="77777777" w:rsidR="002E3820" w:rsidRPr="002E3820" w:rsidRDefault="002E3820" w:rsidP="001E68BC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2E3820">
              <w:rPr>
                <w:rFonts w:ascii="Arial Narrow" w:eastAsia="Arial" w:hAnsi="Arial Narrow" w:cs="Arial"/>
                <w:b/>
              </w:rPr>
              <w:t>Fuente:</w:t>
            </w:r>
          </w:p>
        </w:tc>
        <w:tc>
          <w:tcPr>
            <w:tcW w:w="7931" w:type="dxa"/>
            <w:vAlign w:val="center"/>
          </w:tcPr>
          <w:p w14:paraId="02AAAC5C" w14:textId="5F152513" w:rsidR="002E3820" w:rsidRPr="002E3820" w:rsidRDefault="002E3820" w:rsidP="001E68BC">
            <w:pPr>
              <w:spacing w:line="276" w:lineRule="auto"/>
              <w:rPr>
                <w:rFonts w:ascii="Arial Narrow" w:eastAsia="Arial" w:hAnsi="Arial Narrow" w:cs="Arial"/>
              </w:rPr>
            </w:pPr>
            <w:r w:rsidRPr="002E3820">
              <w:rPr>
                <w:rFonts w:ascii="Arial Narrow" w:eastAsia="Arial" w:hAnsi="Arial Narrow" w:cs="Arial"/>
              </w:rPr>
              <w:t xml:space="preserve">Secretaría de Salud. </w:t>
            </w:r>
            <w:r w:rsidRPr="002E3820">
              <w:rPr>
                <w:rFonts w:ascii="Arial Narrow" w:hAnsi="Arial Narrow"/>
              </w:rPr>
              <w:t>Comunicado Técnico Diario</w:t>
            </w:r>
            <w:r w:rsidR="00D730DC">
              <w:rPr>
                <w:rFonts w:ascii="Arial Narrow" w:hAnsi="Arial Narrow"/>
              </w:rPr>
              <w:t>.</w:t>
            </w:r>
            <w:r w:rsidR="00CA70C4">
              <w:rPr>
                <w:rFonts w:ascii="Arial Narrow" w:hAnsi="Arial Narrow"/>
              </w:rPr>
              <w:t xml:space="preserve"> </w:t>
            </w:r>
            <w:r w:rsidRPr="002E3820">
              <w:rPr>
                <w:rFonts w:ascii="Arial Narrow" w:hAnsi="Arial Narrow"/>
              </w:rPr>
              <w:t xml:space="preserve"> en el Mundo (COVID-19).</w:t>
            </w:r>
          </w:p>
        </w:tc>
      </w:tr>
      <w:tr w:rsidR="002E3820" w14:paraId="387C3A99" w14:textId="77777777" w:rsidTr="00AB503F">
        <w:tc>
          <w:tcPr>
            <w:tcW w:w="1410" w:type="dxa"/>
            <w:vAlign w:val="center"/>
          </w:tcPr>
          <w:p w14:paraId="7576F8F2" w14:textId="70D2DDC1" w:rsidR="002E3820" w:rsidRPr="002E3820" w:rsidRDefault="002E3820" w:rsidP="00FD74CA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2E3820">
              <w:rPr>
                <w:rFonts w:ascii="Arial Narrow" w:eastAsia="Arial" w:hAnsi="Arial Narrow" w:cs="Arial"/>
                <w:b/>
              </w:rPr>
              <w:t>Estadísticas actualizadas</w:t>
            </w:r>
            <w:r w:rsidR="00FD74CA">
              <w:rPr>
                <w:rFonts w:ascii="Arial Narrow" w:eastAsia="Arial" w:hAnsi="Arial Narrow" w:cs="Arial"/>
                <w:b/>
              </w:rPr>
              <w:t xml:space="preserve"> en México</w:t>
            </w:r>
            <w:r w:rsidRPr="002E3820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7931" w:type="dxa"/>
            <w:vAlign w:val="center"/>
          </w:tcPr>
          <w:p w14:paraId="70395512" w14:textId="6291D873" w:rsidR="002E3820" w:rsidRPr="00D730DC" w:rsidRDefault="002E3820" w:rsidP="001E68BC">
            <w:pPr>
              <w:spacing w:line="276" w:lineRule="auto"/>
              <w:rPr>
                <w:rFonts w:ascii="Arial Narrow" w:eastAsia="Arial" w:hAnsi="Arial Narrow" w:cs="Arial"/>
                <w:bCs/>
              </w:rPr>
            </w:pPr>
            <w:proofErr w:type="gramStart"/>
            <w:r w:rsidRPr="00D730DC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D730DC">
              <w:rPr>
                <w:rFonts w:ascii="Arial Narrow" w:eastAsia="Arial" w:hAnsi="Arial Narrow" w:cs="Arial"/>
                <w:bCs/>
              </w:rPr>
              <w:t xml:space="preserve"> de personas confirmadas:</w:t>
            </w:r>
            <w:r w:rsidR="003955A0" w:rsidRPr="00D730DC">
              <w:rPr>
                <w:rFonts w:ascii="Arial Narrow" w:eastAsia="Arial" w:hAnsi="Arial Narrow" w:cs="Arial"/>
                <w:bCs/>
              </w:rPr>
              <w:t xml:space="preserve"> </w:t>
            </w:r>
            <w:r w:rsidR="0090162A" w:rsidRPr="00AC2D02">
              <w:rPr>
                <w:rFonts w:ascii="Arial Narrow" w:eastAsia="Arial" w:hAnsi="Arial Narrow" w:cs="Arial"/>
                <w:b/>
                <w:bCs/>
              </w:rPr>
              <w:t>405</w:t>
            </w:r>
            <w:r w:rsidR="003955A0" w:rsidRPr="00D730DC">
              <w:rPr>
                <w:rFonts w:ascii="Arial Narrow" w:eastAsia="Arial" w:hAnsi="Arial Narrow" w:cs="Arial"/>
                <w:b/>
              </w:rPr>
              <w:t xml:space="preserve">, </w:t>
            </w:r>
            <w:r w:rsidR="003824FA" w:rsidRPr="00D730DC">
              <w:rPr>
                <w:rFonts w:ascii="Arial Narrow" w:eastAsia="Arial" w:hAnsi="Arial Narrow" w:cs="Arial"/>
                <w:bCs/>
              </w:rPr>
              <w:t>(</w:t>
            </w:r>
            <w:r w:rsidR="00D730DC" w:rsidRPr="00D730DC">
              <w:rPr>
                <w:rFonts w:ascii="Arial Narrow" w:eastAsia="Arial" w:hAnsi="Arial Narrow" w:cs="Arial"/>
                <w:bCs/>
              </w:rPr>
              <w:t>+</w:t>
            </w:r>
            <w:r w:rsidR="0090162A">
              <w:rPr>
                <w:rFonts w:ascii="Arial Narrow" w:eastAsia="Arial" w:hAnsi="Arial Narrow" w:cs="Arial"/>
                <w:bCs/>
              </w:rPr>
              <w:t>38 más que ayer</w:t>
            </w:r>
            <w:r w:rsidR="00C126B8" w:rsidRPr="00D730DC">
              <w:rPr>
                <w:rFonts w:ascii="Arial Narrow" w:eastAsia="Arial" w:hAnsi="Arial Narrow" w:cs="Arial"/>
                <w:bCs/>
              </w:rPr>
              <w:t>).</w:t>
            </w:r>
          </w:p>
          <w:p w14:paraId="3877B449" w14:textId="178C5E31" w:rsidR="003824FA" w:rsidRPr="00D730DC" w:rsidRDefault="0090162A" w:rsidP="003824F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62</w:t>
            </w:r>
            <w:r w:rsidR="00E04994" w:rsidRPr="00D730DC">
              <w:rPr>
                <w:rFonts w:ascii="Arial Narrow" w:hAnsi="Arial Narrow"/>
              </w:rPr>
              <w:t>% Hombres.</w:t>
            </w:r>
          </w:p>
          <w:p w14:paraId="634C3626" w14:textId="7F063B8A" w:rsidR="003824FA" w:rsidRPr="00D730DC" w:rsidRDefault="0090162A" w:rsidP="003824F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  <w:r w:rsidR="003824FA" w:rsidRPr="00D730DC">
              <w:rPr>
                <w:rFonts w:ascii="Arial Narrow" w:hAnsi="Arial Narrow"/>
              </w:rPr>
              <w:t>% Mujeres</w:t>
            </w:r>
            <w:r w:rsidR="00E04994" w:rsidRPr="00D730DC">
              <w:rPr>
                <w:rFonts w:ascii="Arial Narrow" w:hAnsi="Arial Narrow"/>
              </w:rPr>
              <w:t>.</w:t>
            </w:r>
          </w:p>
          <w:p w14:paraId="27D5723B" w14:textId="431E4F8A" w:rsidR="00D730DC" w:rsidRDefault="00D730DC" w:rsidP="00D730DC">
            <w:pPr>
              <w:spacing w:line="276" w:lineRule="auto"/>
              <w:ind w:left="708"/>
              <w:rPr>
                <w:rFonts w:ascii="Arial Narrow" w:eastAsia="Arial" w:hAnsi="Arial Narrow" w:cs="Arial"/>
                <w:bCs/>
              </w:rPr>
            </w:pPr>
            <w:r>
              <w:rPr>
                <w:rFonts w:ascii="Arial Narrow" w:eastAsia="Arial" w:hAnsi="Arial Narrow" w:cs="Arial"/>
                <w:bCs/>
              </w:rPr>
              <w:t xml:space="preserve">En la </w:t>
            </w:r>
            <w:r w:rsidRPr="00D730DC">
              <w:rPr>
                <w:rFonts w:ascii="Arial Narrow" w:eastAsia="Arial" w:hAnsi="Arial Narrow" w:cs="Arial"/>
                <w:bCs/>
                <w:u w:val="single"/>
              </w:rPr>
              <w:t xml:space="preserve">Ciudad de México: </w:t>
            </w:r>
            <w:r w:rsidRPr="00D730DC">
              <w:rPr>
                <w:rFonts w:ascii="Arial Narrow" w:eastAsia="Arial" w:hAnsi="Arial Narrow" w:cs="Arial"/>
                <w:b/>
                <w:u w:val="single"/>
              </w:rPr>
              <w:t>6</w:t>
            </w:r>
            <w:r w:rsidR="00BE551D">
              <w:rPr>
                <w:rFonts w:ascii="Arial Narrow" w:eastAsia="Arial" w:hAnsi="Arial Narrow" w:cs="Arial"/>
                <w:b/>
                <w:u w:val="single"/>
              </w:rPr>
              <w:t>6</w:t>
            </w:r>
            <w:r w:rsidR="00BE551D">
              <w:rPr>
                <w:rFonts w:ascii="Arial Narrow" w:eastAsia="Arial" w:hAnsi="Arial Narrow" w:cs="Arial"/>
                <w:bCs/>
              </w:rPr>
              <w:t xml:space="preserve"> (+6</w:t>
            </w:r>
            <w:r>
              <w:rPr>
                <w:rFonts w:ascii="Arial Narrow" w:eastAsia="Arial" w:hAnsi="Arial Narrow" w:cs="Arial"/>
                <w:bCs/>
              </w:rPr>
              <w:t xml:space="preserve"> que ayer)</w:t>
            </w:r>
          </w:p>
          <w:p w14:paraId="628188CD" w14:textId="37EA93F5" w:rsidR="002E3820" w:rsidRPr="00BE551D" w:rsidRDefault="002E3820" w:rsidP="001E68BC">
            <w:pPr>
              <w:spacing w:line="276" w:lineRule="auto"/>
              <w:rPr>
                <w:rFonts w:ascii="Arial Narrow" w:eastAsia="Arial" w:hAnsi="Arial Narrow" w:cs="Arial"/>
                <w:bCs/>
              </w:rPr>
            </w:pPr>
            <w:proofErr w:type="gramStart"/>
            <w:r w:rsidRPr="003955A0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3955A0">
              <w:rPr>
                <w:rFonts w:ascii="Arial Narrow" w:eastAsia="Arial" w:hAnsi="Arial Narrow" w:cs="Arial"/>
                <w:bCs/>
              </w:rPr>
              <w:t xml:space="preserve"> de personas sospechosas:</w:t>
            </w:r>
            <w:r w:rsidR="003955A0">
              <w:rPr>
                <w:rFonts w:ascii="Arial Narrow" w:eastAsia="Arial" w:hAnsi="Arial Narrow" w:cs="Arial"/>
                <w:bCs/>
              </w:rPr>
              <w:t xml:space="preserve"> </w:t>
            </w:r>
            <w:r w:rsidR="0090162A" w:rsidRPr="00D57F54">
              <w:rPr>
                <w:rFonts w:ascii="Arial Narrow" w:eastAsia="Arial" w:hAnsi="Arial Narrow" w:cs="Arial"/>
                <w:b/>
                <w:bCs/>
              </w:rPr>
              <w:t>1219</w:t>
            </w:r>
            <w:r w:rsidR="0090162A">
              <w:rPr>
                <w:rFonts w:ascii="Arial Narrow" w:eastAsia="Arial" w:hAnsi="Arial Narrow" w:cs="Arial"/>
                <w:bCs/>
              </w:rPr>
              <w:t xml:space="preserve"> </w:t>
            </w:r>
            <w:r w:rsidR="00C126B8" w:rsidRPr="00BE551D">
              <w:rPr>
                <w:rFonts w:ascii="Arial Narrow" w:eastAsia="Arial" w:hAnsi="Arial Narrow" w:cs="Arial"/>
                <w:bCs/>
              </w:rPr>
              <w:t>(</w:t>
            </w:r>
            <w:r w:rsidR="00D730DC" w:rsidRPr="00BE551D">
              <w:rPr>
                <w:rFonts w:ascii="Arial Narrow" w:eastAsia="Arial" w:hAnsi="Arial Narrow" w:cs="Arial"/>
                <w:bCs/>
              </w:rPr>
              <w:t>+</w:t>
            </w:r>
            <w:r w:rsidR="00503CAF" w:rsidRPr="00BE551D">
              <w:rPr>
                <w:rFonts w:ascii="Arial Narrow" w:eastAsia="Arial" w:hAnsi="Arial Narrow" w:cs="Arial"/>
                <w:bCs/>
              </w:rPr>
              <w:t>3</w:t>
            </w:r>
            <w:r w:rsidR="00BE551D" w:rsidRPr="00BE551D">
              <w:rPr>
                <w:rFonts w:ascii="Arial Narrow" w:eastAsia="Arial" w:hAnsi="Arial Narrow" w:cs="Arial"/>
                <w:bCs/>
              </w:rPr>
              <w:t>9</w:t>
            </w:r>
            <w:r w:rsidR="00503CAF" w:rsidRPr="00BE551D">
              <w:rPr>
                <w:rFonts w:ascii="Arial Narrow" w:eastAsia="Arial" w:hAnsi="Arial Narrow" w:cs="Arial"/>
                <w:bCs/>
              </w:rPr>
              <w:t xml:space="preserve">3 </w:t>
            </w:r>
            <w:r w:rsidR="00C126B8" w:rsidRPr="00BE551D">
              <w:rPr>
                <w:rFonts w:ascii="Arial Narrow" w:eastAsia="Arial" w:hAnsi="Arial Narrow" w:cs="Arial"/>
                <w:bCs/>
              </w:rPr>
              <w:t>que ayer).</w:t>
            </w:r>
          </w:p>
          <w:p w14:paraId="1E6A04A7" w14:textId="62F18604" w:rsidR="002E3820" w:rsidRPr="00BE551D" w:rsidRDefault="002E3820" w:rsidP="001E68BC">
            <w:pPr>
              <w:spacing w:line="276" w:lineRule="auto"/>
              <w:rPr>
                <w:rFonts w:ascii="Arial Narrow" w:eastAsia="Arial" w:hAnsi="Arial Narrow" w:cs="Arial"/>
                <w:bCs/>
              </w:rPr>
            </w:pPr>
            <w:proofErr w:type="gramStart"/>
            <w:r w:rsidRPr="00BE551D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BE551D">
              <w:rPr>
                <w:rFonts w:ascii="Arial Narrow" w:eastAsia="Arial" w:hAnsi="Arial Narrow" w:cs="Arial"/>
                <w:bCs/>
              </w:rPr>
              <w:t xml:space="preserve"> de casos negativos:</w:t>
            </w:r>
            <w:r w:rsidR="003955A0" w:rsidRPr="00BE551D">
              <w:rPr>
                <w:rFonts w:ascii="Arial Narrow" w:eastAsia="Arial" w:hAnsi="Arial Narrow" w:cs="Arial"/>
                <w:bCs/>
              </w:rPr>
              <w:t xml:space="preserve"> </w:t>
            </w:r>
            <w:r w:rsidR="0090162A" w:rsidRPr="00D57F54">
              <w:rPr>
                <w:rFonts w:ascii="Arial Narrow" w:eastAsia="Arial" w:hAnsi="Arial Narrow" w:cs="Arial"/>
                <w:b/>
                <w:bCs/>
              </w:rPr>
              <w:t>2161</w:t>
            </w:r>
            <w:r w:rsidR="0090162A" w:rsidRPr="00BE551D">
              <w:rPr>
                <w:rFonts w:ascii="Arial Narrow" w:eastAsia="Arial" w:hAnsi="Arial Narrow" w:cs="Arial"/>
                <w:bCs/>
              </w:rPr>
              <w:t xml:space="preserve"> </w:t>
            </w:r>
            <w:r w:rsidR="00BE551D" w:rsidRPr="00BE551D">
              <w:rPr>
                <w:rFonts w:ascii="Arial Narrow" w:eastAsia="Arial" w:hAnsi="Arial Narrow" w:cs="Arial"/>
                <w:bCs/>
              </w:rPr>
              <w:t>(+</w:t>
            </w:r>
            <w:r w:rsidR="00BE551D" w:rsidRPr="00BE551D">
              <w:rPr>
                <w:rFonts w:ascii="Arial Narrow" w:eastAsia="Arial" w:hAnsi="Arial Narrow" w:cs="Arial"/>
              </w:rPr>
              <w:t>296 que ayer)</w:t>
            </w:r>
          </w:p>
          <w:p w14:paraId="0337AE11" w14:textId="63AEC859" w:rsidR="00D730DC" w:rsidRDefault="002E3820" w:rsidP="001E68BC">
            <w:pPr>
              <w:spacing w:line="276" w:lineRule="auto"/>
              <w:rPr>
                <w:rFonts w:ascii="Arial Narrow" w:eastAsia="Arial" w:hAnsi="Arial Narrow" w:cs="Arial"/>
                <w:bCs/>
              </w:rPr>
            </w:pPr>
            <w:proofErr w:type="gramStart"/>
            <w:r w:rsidRPr="00BE551D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BE551D">
              <w:rPr>
                <w:rFonts w:ascii="Arial Narrow" w:eastAsia="Arial" w:hAnsi="Arial Narrow" w:cs="Arial"/>
                <w:bCs/>
              </w:rPr>
              <w:t xml:space="preserve"> de defunciones:</w:t>
            </w:r>
            <w:r w:rsidR="003955A0" w:rsidRPr="00BE551D">
              <w:rPr>
                <w:rFonts w:ascii="Arial Narrow" w:eastAsia="Arial" w:hAnsi="Arial Narrow" w:cs="Arial"/>
                <w:bCs/>
              </w:rPr>
              <w:t xml:space="preserve"> </w:t>
            </w:r>
            <w:r w:rsidR="0090162A" w:rsidRPr="00D57F54">
              <w:rPr>
                <w:rFonts w:ascii="Arial Narrow" w:eastAsia="Arial" w:hAnsi="Arial Narrow" w:cs="Arial"/>
                <w:b/>
                <w:bCs/>
              </w:rPr>
              <w:t>5</w:t>
            </w:r>
            <w:r w:rsidR="003955A0" w:rsidRPr="00BE551D">
              <w:rPr>
                <w:rFonts w:ascii="Arial Narrow" w:eastAsia="Arial" w:hAnsi="Arial Narrow" w:cs="Arial"/>
              </w:rPr>
              <w:t xml:space="preserve"> </w:t>
            </w:r>
            <w:r w:rsidR="003824FA" w:rsidRPr="00BE551D">
              <w:rPr>
                <w:rFonts w:ascii="Arial Narrow" w:eastAsia="Arial" w:hAnsi="Arial Narrow" w:cs="Arial"/>
                <w:bCs/>
              </w:rPr>
              <w:t>(</w:t>
            </w:r>
            <w:r w:rsidR="00D730DC" w:rsidRPr="00BE551D">
              <w:rPr>
                <w:rFonts w:ascii="Arial Narrow" w:eastAsia="Arial" w:hAnsi="Arial Narrow" w:cs="Arial"/>
                <w:bCs/>
              </w:rPr>
              <w:t>+</w:t>
            </w:r>
            <w:r w:rsidR="005A10B0" w:rsidRPr="00BE551D">
              <w:rPr>
                <w:rFonts w:ascii="Arial Narrow" w:eastAsia="Arial" w:hAnsi="Arial Narrow" w:cs="Arial"/>
                <w:bCs/>
              </w:rPr>
              <w:t>1</w:t>
            </w:r>
            <w:r w:rsidR="00C126B8" w:rsidRPr="00BE551D">
              <w:rPr>
                <w:rFonts w:ascii="Arial Narrow" w:eastAsia="Arial" w:hAnsi="Arial Narrow" w:cs="Arial"/>
                <w:bCs/>
              </w:rPr>
              <w:t xml:space="preserve"> que ayer).</w:t>
            </w:r>
          </w:p>
          <w:p w14:paraId="65972E6E" w14:textId="03D8151A" w:rsidR="00D57F54" w:rsidRDefault="00D57F54" w:rsidP="001E68BC">
            <w:pPr>
              <w:spacing w:line="276" w:lineRule="auto"/>
              <w:rPr>
                <w:rFonts w:ascii="Arial Narrow" w:eastAsia="Arial" w:hAnsi="Arial Narrow" w:cs="Arial"/>
                <w:bCs/>
              </w:rPr>
            </w:pPr>
            <w:r>
              <w:rPr>
                <w:rFonts w:ascii="Arial Narrow" w:eastAsia="Arial" w:hAnsi="Arial Narrow" w:cs="Arial"/>
                <w:bCs/>
                <w:noProof/>
                <w:lang w:val="es-ES" w:eastAsia="es-ES"/>
              </w:rPr>
              <w:drawing>
                <wp:inline distT="0" distB="0" distL="0" distR="0" wp14:anchorId="13AE46F6" wp14:editId="6137407D">
                  <wp:extent cx="4899025" cy="2386330"/>
                  <wp:effectExtent l="0" t="0" r="3175" b="127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3-24 at 19.21.09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902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414EE3" w14:textId="081A5E37" w:rsidR="00C16596" w:rsidRPr="002E3820" w:rsidRDefault="00D57F54" w:rsidP="001E68BC">
            <w:pPr>
              <w:spacing w:line="276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noProof/>
                <w:lang w:val="es-ES" w:eastAsia="es-ES"/>
              </w:rPr>
              <w:lastRenderedPageBreak/>
              <w:drawing>
                <wp:inline distT="0" distB="0" distL="0" distR="0" wp14:anchorId="769D0B2A" wp14:editId="16237761">
                  <wp:extent cx="4899025" cy="2770505"/>
                  <wp:effectExtent l="0" t="0" r="317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3-24 at 19.21.09 (1)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9025" cy="277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820" w14:paraId="7B539D5A" w14:textId="77777777" w:rsidTr="00AB503F">
        <w:tc>
          <w:tcPr>
            <w:tcW w:w="1410" w:type="dxa"/>
            <w:vAlign w:val="center"/>
          </w:tcPr>
          <w:p w14:paraId="10E0DB26" w14:textId="77777777" w:rsidR="002E3820" w:rsidRPr="002E3820" w:rsidRDefault="002E3820" w:rsidP="001E68BC">
            <w:pPr>
              <w:rPr>
                <w:rFonts w:ascii="Arial Narrow" w:hAnsi="Arial Narrow"/>
                <w:b/>
              </w:rPr>
            </w:pPr>
            <w:r w:rsidRPr="002E3820">
              <w:rPr>
                <w:rFonts w:ascii="Arial Narrow" w:eastAsia="Arial" w:hAnsi="Arial Narrow" w:cs="Arial"/>
                <w:b/>
              </w:rPr>
              <w:lastRenderedPageBreak/>
              <w:t>Anuncios destacados:</w:t>
            </w:r>
          </w:p>
        </w:tc>
        <w:tc>
          <w:tcPr>
            <w:tcW w:w="7931" w:type="dxa"/>
            <w:vAlign w:val="center"/>
          </w:tcPr>
          <w:p w14:paraId="0FCF5E1D" w14:textId="28BBB819" w:rsidR="00D67A48" w:rsidRDefault="00D67A48" w:rsidP="002E3820">
            <w:pPr>
              <w:spacing w:line="276" w:lineRule="auto"/>
              <w:jc w:val="both"/>
              <w:rPr>
                <w:rFonts w:ascii="Arial Narrow" w:hAnsi="Arial Narrow"/>
                <w:b/>
                <w:color w:val="14171A"/>
              </w:rPr>
            </w:pPr>
            <w:bookmarkStart w:id="3" w:name="_heading=h.99mneb1ud1dd" w:colFirst="0" w:colLast="0"/>
            <w:bookmarkEnd w:id="3"/>
            <w:r>
              <w:rPr>
                <w:rFonts w:ascii="Arial Narrow" w:hAnsi="Arial Narrow"/>
                <w:b/>
                <w:color w:val="14171A"/>
              </w:rPr>
              <w:t>Conferencia Matutina</w:t>
            </w:r>
          </w:p>
          <w:p w14:paraId="1D43F2EF" w14:textId="1D0A204A" w:rsidR="002E3820" w:rsidRDefault="002E3820" w:rsidP="002E3820">
            <w:pPr>
              <w:spacing w:line="276" w:lineRule="auto"/>
              <w:jc w:val="both"/>
              <w:rPr>
                <w:rFonts w:ascii="Arial Narrow" w:hAnsi="Arial Narrow"/>
                <w:color w:val="14171A"/>
              </w:rPr>
            </w:pPr>
            <w:r w:rsidRPr="002E3820">
              <w:rPr>
                <w:rFonts w:ascii="Arial Narrow" w:hAnsi="Arial Narrow"/>
                <w:b/>
                <w:color w:val="14171A"/>
              </w:rPr>
              <w:t>1.-</w:t>
            </w:r>
            <w:r w:rsidR="00CD379E">
              <w:rPr>
                <w:rFonts w:ascii="Arial Narrow" w:hAnsi="Arial Narrow"/>
                <w:b/>
                <w:color w:val="14171A"/>
              </w:rPr>
              <w:t xml:space="preserve"> </w:t>
            </w:r>
            <w:r w:rsidR="002F5BD5">
              <w:rPr>
                <w:rFonts w:ascii="Arial Narrow" w:hAnsi="Arial Narrow"/>
                <w:color w:val="14171A"/>
              </w:rPr>
              <w:t>México entró oficialmente a la Fase 2</w:t>
            </w:r>
            <w:r w:rsidR="00CA70C4">
              <w:rPr>
                <w:rFonts w:ascii="Arial Narrow" w:hAnsi="Arial Narrow"/>
                <w:color w:val="14171A"/>
              </w:rPr>
              <w:t xml:space="preserve">. </w:t>
            </w:r>
            <w:r w:rsidR="00077C98">
              <w:rPr>
                <w:rFonts w:ascii="Arial Narrow" w:hAnsi="Arial Narrow"/>
                <w:color w:val="14171A"/>
              </w:rPr>
              <w:t xml:space="preserve">El Subsecretario </w:t>
            </w:r>
            <w:r w:rsidR="00CA70C4" w:rsidRPr="00CA70C4">
              <w:rPr>
                <w:rFonts w:ascii="Arial Narrow" w:hAnsi="Arial Narrow"/>
                <w:color w:val="14171A"/>
              </w:rPr>
              <w:t>López Gatell explicó que iniciar ahora las medidas de sana distancia es una oportunidad para México para que menos gente se contagie.</w:t>
            </w:r>
            <w:r w:rsidR="0090162A">
              <w:rPr>
                <w:rFonts w:ascii="Arial Narrow" w:hAnsi="Arial Narrow"/>
                <w:color w:val="14171A"/>
              </w:rPr>
              <w:t xml:space="preserve"> </w:t>
            </w:r>
            <w:r w:rsidR="00CA70C4">
              <w:rPr>
                <w:rFonts w:ascii="Arial Narrow" w:hAnsi="Arial Narrow"/>
                <w:color w:val="14171A"/>
              </w:rPr>
              <w:t xml:space="preserve">Por eso entramos con </w:t>
            </w:r>
            <w:r w:rsidR="0090162A">
              <w:rPr>
                <w:rFonts w:ascii="Arial Narrow" w:hAnsi="Arial Narrow"/>
                <w:color w:val="14171A"/>
              </w:rPr>
              <w:t>quince días</w:t>
            </w:r>
            <w:r w:rsidR="00CA70C4">
              <w:rPr>
                <w:rFonts w:ascii="Arial Narrow" w:hAnsi="Arial Narrow"/>
                <w:color w:val="14171A"/>
              </w:rPr>
              <w:t xml:space="preserve"> de anticipación a lo que lo hicieron otras naciones afectadas</w:t>
            </w:r>
            <w:r w:rsidR="0090162A">
              <w:rPr>
                <w:rFonts w:ascii="Arial Narrow" w:hAnsi="Arial Narrow"/>
                <w:color w:val="14171A"/>
              </w:rPr>
              <w:t xml:space="preserve">. </w:t>
            </w:r>
          </w:p>
          <w:p w14:paraId="55FDF5FA" w14:textId="29E0A97C" w:rsidR="00D67A48" w:rsidRDefault="00D67A48" w:rsidP="002E3820">
            <w:pPr>
              <w:spacing w:line="276" w:lineRule="auto"/>
              <w:jc w:val="both"/>
              <w:rPr>
                <w:rFonts w:ascii="Arial Narrow" w:hAnsi="Arial Narrow"/>
                <w:color w:val="14171A"/>
              </w:rPr>
            </w:pPr>
            <w:r w:rsidRPr="00D67A48">
              <w:rPr>
                <w:rFonts w:ascii="Arial Narrow" w:hAnsi="Arial Narrow"/>
                <w:b/>
                <w:color w:val="14171A"/>
              </w:rPr>
              <w:t>2.-</w:t>
            </w:r>
            <w:r>
              <w:rPr>
                <w:rFonts w:ascii="Arial Narrow" w:hAnsi="Arial Narrow"/>
                <w:color w:val="14171A"/>
              </w:rPr>
              <w:t xml:space="preserve"> Presentó Grupo Científico que encabeza el análisis para dar respuesta a la contingencia de COVID-19. </w:t>
            </w:r>
          </w:p>
          <w:p w14:paraId="5A8E29B9" w14:textId="09F3EA88" w:rsidR="00D67A48" w:rsidRDefault="00D67A48" w:rsidP="002E3820">
            <w:pPr>
              <w:spacing w:line="276" w:lineRule="auto"/>
              <w:jc w:val="both"/>
              <w:rPr>
                <w:rFonts w:ascii="Arial Narrow" w:hAnsi="Arial Narrow"/>
                <w:color w:val="14171A"/>
              </w:rPr>
            </w:pPr>
            <w:r w:rsidRPr="00D67A48">
              <w:rPr>
                <w:rFonts w:ascii="Arial Narrow" w:hAnsi="Arial Narrow"/>
                <w:b/>
                <w:color w:val="14171A"/>
              </w:rPr>
              <w:t>3.-</w:t>
            </w:r>
            <w:r>
              <w:rPr>
                <w:rFonts w:ascii="Arial Narrow" w:hAnsi="Arial Narrow"/>
                <w:color w:val="14171A"/>
              </w:rPr>
              <w:t xml:space="preserve"> Medidas de mitigación comunitaria para reducir la propagación: a.</w:t>
            </w:r>
            <w:r w:rsidRPr="00D67A48">
              <w:rPr>
                <w:rFonts w:ascii="Arial Narrow" w:hAnsi="Arial Narrow"/>
                <w:color w:val="14171A"/>
              </w:rPr>
              <w:t xml:space="preserve"> Proteger a adultos mayores y personas </w:t>
            </w:r>
            <w:r>
              <w:rPr>
                <w:rFonts w:ascii="Arial Narrow" w:hAnsi="Arial Narrow"/>
                <w:color w:val="14171A"/>
              </w:rPr>
              <w:t>de mayor riesgo; b</w:t>
            </w:r>
            <w:r w:rsidRPr="00D67A48">
              <w:rPr>
                <w:rFonts w:ascii="Arial Narrow" w:hAnsi="Arial Narrow"/>
                <w:color w:val="14171A"/>
              </w:rPr>
              <w:t>. Suspender clases</w:t>
            </w:r>
            <w:r>
              <w:rPr>
                <w:rFonts w:ascii="Arial Narrow" w:hAnsi="Arial Narrow"/>
                <w:color w:val="14171A"/>
              </w:rPr>
              <w:t xml:space="preserve"> en todo el sistema educativo; c</w:t>
            </w:r>
            <w:r w:rsidRPr="00D67A48">
              <w:rPr>
                <w:rFonts w:ascii="Arial Narrow" w:hAnsi="Arial Narrow"/>
                <w:color w:val="14171A"/>
              </w:rPr>
              <w:t xml:space="preserve">. Suspender </w:t>
            </w:r>
            <w:proofErr w:type="gramStart"/>
            <w:r w:rsidRPr="00D67A48">
              <w:rPr>
                <w:rFonts w:ascii="Arial Narrow" w:hAnsi="Arial Narrow"/>
                <w:color w:val="14171A"/>
              </w:rPr>
              <w:t>temporalmente  e</w:t>
            </w:r>
            <w:r>
              <w:rPr>
                <w:rFonts w:ascii="Arial Narrow" w:hAnsi="Arial Narrow"/>
                <w:color w:val="14171A"/>
              </w:rPr>
              <w:t>ventos</w:t>
            </w:r>
            <w:proofErr w:type="gramEnd"/>
            <w:r>
              <w:rPr>
                <w:rFonts w:ascii="Arial Narrow" w:hAnsi="Arial Narrow"/>
                <w:color w:val="14171A"/>
              </w:rPr>
              <w:t xml:space="preserve"> de más de 100 personas; d</w:t>
            </w:r>
            <w:r w:rsidRPr="00D67A48">
              <w:rPr>
                <w:rFonts w:ascii="Arial Narrow" w:hAnsi="Arial Narrow"/>
                <w:color w:val="14171A"/>
              </w:rPr>
              <w:t xml:space="preserve">. Suspender actividades laborales que impliquen la movilización de personas. (Que todas las organizaciones pongan en práctica sus planes de </w:t>
            </w:r>
            <w:r>
              <w:rPr>
                <w:rFonts w:ascii="Arial Narrow" w:hAnsi="Arial Narrow"/>
                <w:color w:val="14171A"/>
              </w:rPr>
              <w:t>continuidad de operaciones); y e</w:t>
            </w:r>
            <w:r w:rsidRPr="00D67A48">
              <w:rPr>
                <w:rFonts w:ascii="Arial Narrow" w:hAnsi="Arial Narrow"/>
                <w:color w:val="14171A"/>
              </w:rPr>
              <w:t>. Intensificar medidas básicas de prevención</w:t>
            </w:r>
            <w:r>
              <w:rPr>
                <w:rFonts w:ascii="Arial Narrow" w:hAnsi="Arial Narrow"/>
                <w:color w:val="14171A"/>
              </w:rPr>
              <w:t>.</w:t>
            </w:r>
          </w:p>
          <w:p w14:paraId="6D79257E" w14:textId="3C116331" w:rsidR="00D67A48" w:rsidRDefault="00D67A48" w:rsidP="002E3820">
            <w:pPr>
              <w:spacing w:line="276" w:lineRule="auto"/>
              <w:jc w:val="both"/>
              <w:rPr>
                <w:rFonts w:ascii="Arial Narrow" w:hAnsi="Arial Narrow"/>
                <w:color w:val="14171A"/>
              </w:rPr>
            </w:pPr>
            <w:r w:rsidRPr="00D67A48">
              <w:rPr>
                <w:rFonts w:ascii="Arial Narrow" w:hAnsi="Arial Narrow"/>
                <w:b/>
                <w:color w:val="14171A"/>
              </w:rPr>
              <w:t xml:space="preserve">4.- </w:t>
            </w:r>
            <w:r>
              <w:rPr>
                <w:rFonts w:ascii="Arial Narrow" w:hAnsi="Arial Narrow"/>
                <w:color w:val="14171A"/>
              </w:rPr>
              <w:t xml:space="preserve">Es enfermedad de autocontrol: con las medidas adecuadas, 9 de cada 10 casos no van a requerir hospitalización. </w:t>
            </w:r>
          </w:p>
          <w:p w14:paraId="28858A5B" w14:textId="58EDDBDB" w:rsidR="00D67A48" w:rsidRPr="00D67A48" w:rsidRDefault="002B105E" w:rsidP="002E3820">
            <w:pPr>
              <w:spacing w:line="276" w:lineRule="auto"/>
              <w:jc w:val="both"/>
              <w:rPr>
                <w:rFonts w:ascii="Arial Narrow" w:hAnsi="Arial Narrow"/>
                <w:b/>
                <w:color w:val="14171A"/>
              </w:rPr>
            </w:pPr>
            <w:r>
              <w:rPr>
                <w:rFonts w:ascii="Arial Narrow" w:hAnsi="Arial Narrow"/>
                <w:b/>
                <w:color w:val="14171A"/>
              </w:rPr>
              <w:t>Conferencia Vesper</w:t>
            </w:r>
            <w:r w:rsidR="00D67A48">
              <w:rPr>
                <w:rFonts w:ascii="Arial Narrow" w:hAnsi="Arial Narrow"/>
                <w:b/>
                <w:color w:val="14171A"/>
              </w:rPr>
              <w:t>tina</w:t>
            </w:r>
          </w:p>
          <w:p w14:paraId="37A703E7" w14:textId="4B45C6DB" w:rsidR="005A10B0" w:rsidRPr="002E3820" w:rsidRDefault="00D67A48" w:rsidP="00B17447">
            <w:pPr>
              <w:spacing w:line="276" w:lineRule="auto"/>
              <w:jc w:val="both"/>
              <w:rPr>
                <w:rFonts w:ascii="Arial Narrow" w:hAnsi="Arial Narrow"/>
                <w:b/>
                <w:color w:val="14171A"/>
              </w:rPr>
            </w:pPr>
            <w:r>
              <w:rPr>
                <w:rFonts w:ascii="Arial Narrow" w:hAnsi="Arial Narrow"/>
                <w:b/>
                <w:bCs/>
                <w:color w:val="14171A"/>
              </w:rPr>
              <w:t>1</w:t>
            </w:r>
            <w:r w:rsidR="005A10B0" w:rsidRPr="00CA70C4">
              <w:rPr>
                <w:rFonts w:ascii="Arial Narrow" w:hAnsi="Arial Narrow"/>
                <w:b/>
                <w:bCs/>
                <w:color w:val="14171A"/>
              </w:rPr>
              <w:t>.-</w:t>
            </w:r>
            <w:r w:rsidR="005A10B0">
              <w:rPr>
                <w:rFonts w:ascii="Arial Narrow" w:hAnsi="Arial Narrow"/>
                <w:color w:val="14171A"/>
              </w:rPr>
              <w:t xml:space="preserve"> </w:t>
            </w:r>
            <w:r w:rsidR="00B17447" w:rsidRPr="00B17447">
              <w:rPr>
                <w:rFonts w:ascii="Arial Narrow" w:hAnsi="Arial Narrow"/>
                <w:color w:val="14171A"/>
              </w:rPr>
              <w:t>Letalidad del COVID</w:t>
            </w:r>
            <w:r w:rsidR="00B17447">
              <w:rPr>
                <w:rFonts w:ascii="Arial Narrow" w:hAnsi="Arial Narrow"/>
                <w:color w:val="14171A"/>
              </w:rPr>
              <w:t>-19</w:t>
            </w:r>
            <w:r w:rsidR="00B17447" w:rsidRPr="00B17447">
              <w:rPr>
                <w:rFonts w:ascii="Arial Narrow" w:hAnsi="Arial Narrow"/>
                <w:color w:val="14171A"/>
              </w:rPr>
              <w:t xml:space="preserve"> en México</w:t>
            </w:r>
            <w:r w:rsidR="00B17447">
              <w:rPr>
                <w:rFonts w:ascii="Arial Narrow" w:hAnsi="Arial Narrow"/>
                <w:color w:val="14171A"/>
              </w:rPr>
              <w:t xml:space="preserve"> es del </w:t>
            </w:r>
            <w:r w:rsidR="00B17447" w:rsidRPr="00B17447">
              <w:rPr>
                <w:rFonts w:ascii="Arial Narrow" w:hAnsi="Arial Narrow"/>
                <w:color w:val="14171A"/>
              </w:rPr>
              <w:t>1.2%</w:t>
            </w:r>
            <w:r w:rsidR="00B17447">
              <w:rPr>
                <w:rFonts w:ascii="Arial Narrow" w:hAnsi="Arial Narrow"/>
                <w:color w:val="14171A"/>
              </w:rPr>
              <w:t>. A partir de hoy se</w:t>
            </w:r>
            <w:r w:rsidR="005A10B0">
              <w:rPr>
                <w:rFonts w:ascii="Arial Narrow" w:hAnsi="Arial Narrow"/>
                <w:color w:val="14171A"/>
              </w:rPr>
              <w:t xml:space="preserve"> agregará</w:t>
            </w:r>
            <w:r w:rsidR="00B17447">
              <w:rPr>
                <w:rFonts w:ascii="Arial Narrow" w:hAnsi="Arial Narrow"/>
                <w:color w:val="14171A"/>
              </w:rPr>
              <w:t xml:space="preserve">n </w:t>
            </w:r>
            <w:r w:rsidR="00B17447" w:rsidRPr="00B17447">
              <w:rPr>
                <w:rFonts w:ascii="Arial Narrow" w:hAnsi="Arial Narrow"/>
                <w:color w:val="14171A"/>
              </w:rPr>
              <w:t>datos sobre defunciones considerando las comorbilidades</w:t>
            </w:r>
            <w:r w:rsidR="00B17447">
              <w:rPr>
                <w:rFonts w:ascii="Arial Narrow" w:hAnsi="Arial Narrow"/>
                <w:color w:val="14171A"/>
              </w:rPr>
              <w:t xml:space="preserve"> (enfermedades de riesgo que padecían los fallecidos: diabetes, obesidad, hipertensión, etc.)</w:t>
            </w:r>
          </w:p>
          <w:p w14:paraId="4B437CA5" w14:textId="1A8735A9" w:rsidR="00077C98" w:rsidRDefault="00D67A48" w:rsidP="00077C98">
            <w:pPr>
              <w:spacing w:line="276" w:lineRule="auto"/>
              <w:jc w:val="both"/>
              <w:rPr>
                <w:rFonts w:ascii="Arial Narrow" w:hAnsi="Arial Narrow"/>
                <w:color w:val="14171A"/>
              </w:rPr>
            </w:pPr>
            <w:r>
              <w:rPr>
                <w:rFonts w:ascii="Arial Narrow" w:hAnsi="Arial Narrow"/>
                <w:b/>
                <w:color w:val="14171A"/>
              </w:rPr>
              <w:t>2</w:t>
            </w:r>
            <w:r w:rsidR="002E3820" w:rsidRPr="002E3820">
              <w:rPr>
                <w:rFonts w:ascii="Arial Narrow" w:hAnsi="Arial Narrow"/>
                <w:b/>
                <w:color w:val="14171A"/>
              </w:rPr>
              <w:t>.-</w:t>
            </w:r>
            <w:r w:rsidR="00C16596">
              <w:rPr>
                <w:rFonts w:ascii="Arial Narrow" w:hAnsi="Arial Narrow"/>
                <w:b/>
                <w:color w:val="14171A"/>
              </w:rPr>
              <w:t xml:space="preserve"> </w:t>
            </w:r>
            <w:r w:rsidR="005A10B0">
              <w:rPr>
                <w:rFonts w:ascii="Arial Narrow" w:hAnsi="Arial Narrow"/>
                <w:color w:val="14171A"/>
              </w:rPr>
              <w:t>Entra</w:t>
            </w:r>
            <w:r w:rsidR="00CA70C4">
              <w:rPr>
                <w:rFonts w:ascii="Arial Narrow" w:hAnsi="Arial Narrow"/>
                <w:color w:val="14171A"/>
              </w:rPr>
              <w:t xml:space="preserve"> en vigor el</w:t>
            </w:r>
            <w:r w:rsidR="005A10B0">
              <w:rPr>
                <w:rFonts w:ascii="Arial Narrow" w:hAnsi="Arial Narrow"/>
                <w:color w:val="14171A"/>
              </w:rPr>
              <w:t xml:space="preserve"> protocolo de Intervención de Sana Distancia. Periodo del 23 </w:t>
            </w:r>
            <w:r w:rsidR="00CA70C4">
              <w:rPr>
                <w:rFonts w:ascii="Arial Narrow" w:hAnsi="Arial Narrow"/>
                <w:color w:val="14171A"/>
              </w:rPr>
              <w:t>m</w:t>
            </w:r>
            <w:r w:rsidR="005A10B0">
              <w:rPr>
                <w:rFonts w:ascii="Arial Narrow" w:hAnsi="Arial Narrow"/>
                <w:color w:val="14171A"/>
              </w:rPr>
              <w:t>arzo al 19 de abril. Incluye</w:t>
            </w:r>
            <w:r w:rsidR="00CA70C4">
              <w:rPr>
                <w:rFonts w:ascii="Arial Narrow" w:hAnsi="Arial Narrow"/>
                <w:color w:val="14171A"/>
              </w:rPr>
              <w:t xml:space="preserve"> medidas como:</w:t>
            </w:r>
            <w:r w:rsidR="005A10B0">
              <w:rPr>
                <w:rFonts w:ascii="Arial Narrow" w:hAnsi="Arial Narrow"/>
                <w:color w:val="14171A"/>
              </w:rPr>
              <w:t xml:space="preserve"> no salir de casa, suspensión total de eventos masivos, extremar cuidado a</w:t>
            </w:r>
            <w:r w:rsidR="00CA70C4">
              <w:rPr>
                <w:rFonts w:ascii="Arial Narrow" w:hAnsi="Arial Narrow"/>
                <w:color w:val="14171A"/>
              </w:rPr>
              <w:t xml:space="preserve"> las personas mayores de 60 años</w:t>
            </w:r>
            <w:r w:rsidR="005A10B0">
              <w:rPr>
                <w:rFonts w:ascii="Arial Narrow" w:hAnsi="Arial Narrow"/>
                <w:color w:val="14171A"/>
              </w:rPr>
              <w:t xml:space="preserve">, suspensión de clases en todos los niveles, suspensión de actividades laborales que impliquen movilización de personas.   </w:t>
            </w:r>
          </w:p>
          <w:p w14:paraId="5082DAAE" w14:textId="517641CA" w:rsidR="00C16596" w:rsidRDefault="00D67A48" w:rsidP="00077C98">
            <w:pPr>
              <w:spacing w:line="276" w:lineRule="auto"/>
              <w:jc w:val="both"/>
              <w:rPr>
                <w:rFonts w:ascii="Arial Narrow" w:hAnsi="Arial Narrow"/>
                <w:color w:val="14171A"/>
              </w:rPr>
            </w:pPr>
            <w:r>
              <w:rPr>
                <w:rFonts w:ascii="Arial Narrow" w:hAnsi="Arial Narrow"/>
                <w:b/>
                <w:bCs/>
                <w:color w:val="14171A"/>
              </w:rPr>
              <w:t>3</w:t>
            </w:r>
            <w:r w:rsidR="00077C98" w:rsidRPr="00077C98">
              <w:rPr>
                <w:rFonts w:ascii="Arial Narrow" w:hAnsi="Arial Narrow"/>
                <w:b/>
                <w:bCs/>
                <w:color w:val="14171A"/>
              </w:rPr>
              <w:t>.-</w:t>
            </w:r>
            <w:r w:rsidR="00077C98">
              <w:rPr>
                <w:rFonts w:ascii="Arial Narrow" w:hAnsi="Arial Narrow"/>
                <w:color w:val="14171A"/>
              </w:rPr>
              <w:t xml:space="preserve"> Se publicó hoy, en el Diario Oficial de la Federación el </w:t>
            </w:r>
            <w:r w:rsidR="00077C98" w:rsidRPr="00077C98">
              <w:rPr>
                <w:rFonts w:ascii="Arial Narrow" w:hAnsi="Arial Narrow"/>
                <w:color w:val="14171A"/>
              </w:rPr>
              <w:t>ACUERDO</w:t>
            </w:r>
            <w:r w:rsidR="00077C98">
              <w:rPr>
                <w:rFonts w:ascii="Arial Narrow" w:hAnsi="Arial Narrow"/>
                <w:color w:val="14171A"/>
              </w:rPr>
              <w:t xml:space="preserve"> y el DECRETO </w:t>
            </w:r>
            <w:r w:rsidR="00077C98" w:rsidRPr="00077C98">
              <w:rPr>
                <w:rFonts w:ascii="Arial Narrow" w:hAnsi="Arial Narrow"/>
                <w:color w:val="14171A"/>
              </w:rPr>
              <w:t>por el que se establecen las medidas preventivas que se deberán implementar para la mitigación y control de los riesgos</w:t>
            </w:r>
            <w:r w:rsidR="00077C98">
              <w:rPr>
                <w:rFonts w:ascii="Arial Narrow" w:hAnsi="Arial Narrow"/>
                <w:color w:val="14171A"/>
              </w:rPr>
              <w:t xml:space="preserve"> </w:t>
            </w:r>
            <w:r w:rsidR="00077C98" w:rsidRPr="00077C98">
              <w:rPr>
                <w:rFonts w:ascii="Arial Narrow" w:hAnsi="Arial Narrow"/>
                <w:color w:val="14171A"/>
              </w:rPr>
              <w:t>para la salud que implica la enfermedad por el virus SARS-CoV2 (COVID-19).</w:t>
            </w:r>
          </w:p>
          <w:p w14:paraId="2C1B441F" w14:textId="2623A65E" w:rsidR="00BE551D" w:rsidRPr="00BE551D" w:rsidRDefault="00D67A48" w:rsidP="00BE55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14171A"/>
              </w:rPr>
              <w:t>4</w:t>
            </w:r>
            <w:r w:rsidR="002928A6" w:rsidRPr="002928A6">
              <w:rPr>
                <w:rFonts w:ascii="Arial Narrow" w:hAnsi="Arial Narrow"/>
                <w:b/>
                <w:color w:val="14171A"/>
              </w:rPr>
              <w:t>.-</w:t>
            </w:r>
            <w:r w:rsidR="002928A6">
              <w:rPr>
                <w:rFonts w:ascii="Arial Narrow" w:hAnsi="Arial Narrow"/>
                <w:color w:val="14171A"/>
              </w:rPr>
              <w:t xml:space="preserve"> </w:t>
            </w:r>
            <w:r w:rsidR="00CA70C4">
              <w:rPr>
                <w:rFonts w:ascii="Arial Narrow" w:hAnsi="Arial Narrow"/>
              </w:rPr>
              <w:t>En</w:t>
            </w:r>
            <w:r w:rsidR="00BE551D" w:rsidRPr="00BE551D">
              <w:rPr>
                <w:rFonts w:ascii="Arial Narrow" w:hAnsi="Arial Narrow"/>
              </w:rPr>
              <w:t xml:space="preserve"> los días sucesivos se prevé una respuesta en dos sentidos: </w:t>
            </w:r>
          </w:p>
          <w:p w14:paraId="2D111AC0" w14:textId="77777777" w:rsidR="00BE551D" w:rsidRPr="00BE551D" w:rsidRDefault="00BE551D" w:rsidP="00BE551D">
            <w:pPr>
              <w:rPr>
                <w:rFonts w:ascii="Arial Narrow" w:hAnsi="Arial Narrow"/>
              </w:rPr>
            </w:pPr>
            <w:r w:rsidRPr="00BE551D">
              <w:rPr>
                <w:rFonts w:ascii="Arial Narrow" w:hAnsi="Arial Narrow"/>
              </w:rPr>
              <w:t xml:space="preserve">- </w:t>
            </w:r>
            <w:r w:rsidRPr="00CA70C4">
              <w:rPr>
                <w:rFonts w:ascii="Arial Narrow" w:hAnsi="Arial Narrow"/>
                <w:b/>
                <w:bCs/>
              </w:rPr>
              <w:t>Contención</w:t>
            </w:r>
            <w:r w:rsidRPr="00BE551D">
              <w:rPr>
                <w:rFonts w:ascii="Arial Narrow" w:hAnsi="Arial Narrow"/>
              </w:rPr>
              <w:t xml:space="preserve">: detección de casos infecciosos, realizar la prueba para confirmación, monitoreo, aislamiento, rastreo de contactos para saber cómo adquirieron la enfermedad. </w:t>
            </w:r>
          </w:p>
          <w:p w14:paraId="1548F73F" w14:textId="37D1D348" w:rsidR="002928A6" w:rsidRPr="00BE551D" w:rsidRDefault="00BE551D" w:rsidP="00BE551D">
            <w:pPr>
              <w:rPr>
                <w:rFonts w:ascii="Arial Narrow" w:hAnsi="Arial Narrow"/>
              </w:rPr>
            </w:pPr>
            <w:r w:rsidRPr="00BE551D">
              <w:rPr>
                <w:rFonts w:ascii="Arial Narrow" w:hAnsi="Arial Narrow"/>
              </w:rPr>
              <w:t xml:space="preserve">- </w:t>
            </w:r>
            <w:r w:rsidRPr="00CA70C4">
              <w:rPr>
                <w:rFonts w:ascii="Arial Narrow" w:hAnsi="Arial Narrow"/>
                <w:b/>
                <w:bCs/>
              </w:rPr>
              <w:t>Mitigación</w:t>
            </w:r>
            <w:r w:rsidRPr="00BE551D">
              <w:rPr>
                <w:rFonts w:ascii="Arial Narrow" w:hAnsi="Arial Narrow"/>
              </w:rPr>
              <w:t xml:space="preserve">: acciones enfocados a retrasar el momento cumbre de la epidemia, para que cuando </w:t>
            </w:r>
            <w:r w:rsidR="00CA70C4">
              <w:rPr>
                <w:rFonts w:ascii="Arial Narrow" w:hAnsi="Arial Narrow"/>
              </w:rPr>
              <w:t>é</w:t>
            </w:r>
            <w:r w:rsidRPr="00BE551D">
              <w:rPr>
                <w:rFonts w:ascii="Arial Narrow" w:hAnsi="Arial Narrow"/>
              </w:rPr>
              <w:t xml:space="preserve">ste llegue no </w:t>
            </w:r>
            <w:r w:rsidR="00CA70C4">
              <w:rPr>
                <w:rFonts w:ascii="Arial Narrow" w:hAnsi="Arial Narrow"/>
              </w:rPr>
              <w:t>sea</w:t>
            </w:r>
            <w:r w:rsidRPr="00BE551D">
              <w:rPr>
                <w:rFonts w:ascii="Arial Narrow" w:hAnsi="Arial Narrow"/>
              </w:rPr>
              <w:t xml:space="preserve"> rebasado el sistema de salud y se reduzca la letalidad del COVID-19.</w:t>
            </w:r>
          </w:p>
          <w:p w14:paraId="5C96CEAD" w14:textId="0F7CD60B" w:rsidR="001E68BC" w:rsidRDefault="00D67A48" w:rsidP="002E3820">
            <w:pPr>
              <w:spacing w:line="276" w:lineRule="auto"/>
              <w:jc w:val="both"/>
              <w:rPr>
                <w:rFonts w:ascii="Arial Narrow" w:hAnsi="Arial Narrow"/>
                <w:color w:val="14171A"/>
              </w:rPr>
            </w:pPr>
            <w:r>
              <w:rPr>
                <w:rFonts w:ascii="Arial Narrow" w:hAnsi="Arial Narrow"/>
                <w:b/>
                <w:color w:val="14171A"/>
              </w:rPr>
              <w:t>5</w:t>
            </w:r>
            <w:r w:rsidR="002E3820" w:rsidRPr="002E3820">
              <w:rPr>
                <w:rFonts w:ascii="Arial Narrow" w:hAnsi="Arial Narrow"/>
                <w:b/>
                <w:color w:val="14171A"/>
              </w:rPr>
              <w:t>.-</w:t>
            </w:r>
            <w:r w:rsidR="00C16596" w:rsidRPr="00CD379E">
              <w:rPr>
                <w:rFonts w:ascii="Arial Narrow" w:hAnsi="Arial Narrow"/>
                <w:color w:val="14171A"/>
              </w:rPr>
              <w:t xml:space="preserve"> </w:t>
            </w:r>
            <w:r w:rsidR="001E68BC">
              <w:rPr>
                <w:rFonts w:ascii="Arial Narrow" w:hAnsi="Arial Narrow"/>
                <w:color w:val="14171A"/>
              </w:rPr>
              <w:t xml:space="preserve">Se recomienda, nuevamente, </w:t>
            </w:r>
            <w:r w:rsidR="001E68BC" w:rsidRPr="001E68BC">
              <w:rPr>
                <w:rFonts w:ascii="Arial Narrow" w:hAnsi="Arial Narrow"/>
                <w:color w:val="14171A"/>
              </w:rPr>
              <w:t xml:space="preserve">a la población reforzar </w:t>
            </w:r>
            <w:r w:rsidR="001E68BC">
              <w:rPr>
                <w:rFonts w:ascii="Arial Narrow" w:hAnsi="Arial Narrow"/>
                <w:color w:val="14171A"/>
              </w:rPr>
              <w:t>las medidas preventivas</w:t>
            </w:r>
            <w:r w:rsidR="001E68BC" w:rsidRPr="001E68BC">
              <w:rPr>
                <w:rFonts w:ascii="Arial Narrow" w:hAnsi="Arial Narrow"/>
                <w:color w:val="14171A"/>
              </w:rPr>
              <w:t xml:space="preserve">: </w:t>
            </w:r>
          </w:p>
          <w:p w14:paraId="33F6FE48" w14:textId="77777777" w:rsidR="001E68BC" w:rsidRDefault="001E68BC" w:rsidP="002E3820">
            <w:pPr>
              <w:spacing w:line="276" w:lineRule="auto"/>
              <w:jc w:val="both"/>
              <w:rPr>
                <w:rFonts w:ascii="Arial Narrow" w:hAnsi="Arial Narrow"/>
                <w:color w:val="14171A"/>
              </w:rPr>
            </w:pPr>
            <w:r>
              <w:rPr>
                <w:rFonts w:ascii="Arial Narrow" w:hAnsi="Arial Narrow"/>
                <w:color w:val="14171A"/>
              </w:rPr>
              <w:t>- N</w:t>
            </w:r>
            <w:r w:rsidRPr="001E68BC">
              <w:rPr>
                <w:rFonts w:ascii="Arial Narrow" w:hAnsi="Arial Narrow"/>
                <w:color w:val="14171A"/>
              </w:rPr>
              <w:t xml:space="preserve">o salir de casa si </w:t>
            </w:r>
            <w:r>
              <w:rPr>
                <w:rFonts w:ascii="Arial Narrow" w:hAnsi="Arial Narrow"/>
                <w:color w:val="14171A"/>
              </w:rPr>
              <w:t>no es estrictamente necesario</w:t>
            </w:r>
          </w:p>
          <w:p w14:paraId="58529B6C" w14:textId="60DA2370" w:rsidR="001E68BC" w:rsidRDefault="001E68BC" w:rsidP="001E68BC">
            <w:pPr>
              <w:spacing w:line="276" w:lineRule="auto"/>
              <w:jc w:val="both"/>
              <w:rPr>
                <w:rFonts w:ascii="Arial Narrow" w:hAnsi="Arial Narrow"/>
                <w:color w:val="14171A"/>
              </w:rPr>
            </w:pPr>
            <w:r>
              <w:rPr>
                <w:rFonts w:ascii="Arial Narrow" w:hAnsi="Arial Narrow"/>
                <w:color w:val="14171A"/>
              </w:rPr>
              <w:t>- M</w:t>
            </w:r>
            <w:r w:rsidRPr="001E68BC">
              <w:rPr>
                <w:rFonts w:ascii="Arial Narrow" w:hAnsi="Arial Narrow"/>
                <w:color w:val="14171A"/>
              </w:rPr>
              <w:t xml:space="preserve">antener una distancia de 1.5 metros en </w:t>
            </w:r>
            <w:r w:rsidR="00CA70C4">
              <w:rPr>
                <w:rFonts w:ascii="Arial Narrow" w:hAnsi="Arial Narrow"/>
                <w:color w:val="14171A"/>
              </w:rPr>
              <w:t>personas</w:t>
            </w:r>
          </w:p>
          <w:p w14:paraId="7CDE2BD5" w14:textId="77777777" w:rsidR="002E3820" w:rsidRDefault="001E68BC" w:rsidP="001E68BC">
            <w:pPr>
              <w:spacing w:line="276" w:lineRule="auto"/>
              <w:jc w:val="both"/>
              <w:rPr>
                <w:rFonts w:ascii="Arial Narrow" w:hAnsi="Arial Narrow"/>
                <w:color w:val="14171A"/>
              </w:rPr>
            </w:pPr>
            <w:r>
              <w:rPr>
                <w:rFonts w:ascii="Arial Narrow" w:hAnsi="Arial Narrow"/>
                <w:color w:val="14171A"/>
              </w:rPr>
              <w:t xml:space="preserve">- Al </w:t>
            </w:r>
            <w:r w:rsidRPr="001E68BC">
              <w:rPr>
                <w:rFonts w:ascii="Arial Narrow" w:hAnsi="Arial Narrow"/>
                <w:color w:val="14171A"/>
              </w:rPr>
              <w:t>pagar con tarjeta o dinero en efectivo estar separado lo más posible del contacto</w:t>
            </w:r>
            <w:r>
              <w:rPr>
                <w:rFonts w:ascii="Arial Narrow" w:hAnsi="Arial Narrow"/>
                <w:color w:val="14171A"/>
              </w:rPr>
              <w:t>.</w:t>
            </w:r>
          </w:p>
          <w:p w14:paraId="644D0F5F" w14:textId="1C10C77E" w:rsidR="00BE551D" w:rsidRPr="002E3820" w:rsidRDefault="00077C98" w:rsidP="00BE551D">
            <w:pPr>
              <w:spacing w:line="276" w:lineRule="auto"/>
              <w:jc w:val="both"/>
              <w:rPr>
                <w:rFonts w:ascii="Arial Narrow" w:hAnsi="Arial Narrow"/>
                <w:color w:val="14171A"/>
              </w:rPr>
            </w:pPr>
            <w:r>
              <w:rPr>
                <w:rFonts w:ascii="Arial Narrow" w:hAnsi="Arial Narrow"/>
                <w:b/>
                <w:color w:val="14171A"/>
              </w:rPr>
              <w:t>6</w:t>
            </w:r>
            <w:r w:rsidR="00BE551D" w:rsidRPr="00BE551D">
              <w:rPr>
                <w:rFonts w:ascii="Arial Narrow" w:hAnsi="Arial Narrow"/>
                <w:b/>
                <w:color w:val="14171A"/>
              </w:rPr>
              <w:t>.-</w:t>
            </w:r>
            <w:r w:rsidR="00BE551D">
              <w:rPr>
                <w:rFonts w:ascii="Arial Narrow" w:hAnsi="Arial Narrow"/>
                <w:color w:val="14171A"/>
              </w:rPr>
              <w:t xml:space="preserve"> Se prevé habilitar hospitales COVID -19, destinados sólo a la atención de pacientes graves y en preparación para el pico de la epidemia. </w:t>
            </w:r>
          </w:p>
        </w:tc>
      </w:tr>
      <w:tr w:rsidR="00077C98" w14:paraId="19FC8C31" w14:textId="77777777" w:rsidTr="00AB503F">
        <w:tc>
          <w:tcPr>
            <w:tcW w:w="1410" w:type="dxa"/>
            <w:vAlign w:val="center"/>
          </w:tcPr>
          <w:p w14:paraId="177312F4" w14:textId="1AE39439" w:rsidR="00077C98" w:rsidRDefault="00077C98" w:rsidP="001E68BC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>
              <w:rPr>
                <w:rFonts w:ascii="Arial Narrow" w:eastAsia="Arial" w:hAnsi="Arial Narrow" w:cs="Arial"/>
                <w:b/>
              </w:rPr>
              <w:t>Participaron en la conferencia matutina</w:t>
            </w:r>
            <w:r w:rsidRPr="002E3820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7931" w:type="dxa"/>
            <w:vAlign w:val="center"/>
          </w:tcPr>
          <w:p w14:paraId="34AADD67" w14:textId="2DAAFD08" w:rsidR="00077C98" w:rsidRDefault="002B105E" w:rsidP="001E68BC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Dr. Hugo López Gatell – Subsecretario de prevención y promoción de la salud.</w:t>
            </w:r>
          </w:p>
        </w:tc>
      </w:tr>
      <w:tr w:rsidR="003955A0" w14:paraId="3BE1FADD" w14:textId="77777777" w:rsidTr="00AB503F">
        <w:tc>
          <w:tcPr>
            <w:tcW w:w="1410" w:type="dxa"/>
            <w:vAlign w:val="center"/>
          </w:tcPr>
          <w:p w14:paraId="6C3D01EA" w14:textId="76BC1FB0" w:rsidR="003955A0" w:rsidRPr="002E3820" w:rsidRDefault="003955A0" w:rsidP="001E68BC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>
              <w:rPr>
                <w:rFonts w:ascii="Arial Narrow" w:eastAsia="Arial" w:hAnsi="Arial Narrow" w:cs="Arial"/>
                <w:b/>
              </w:rPr>
              <w:t>Particip</w:t>
            </w:r>
            <w:r w:rsidR="00077C98">
              <w:rPr>
                <w:rFonts w:ascii="Arial Narrow" w:eastAsia="Arial" w:hAnsi="Arial Narrow" w:cs="Arial"/>
                <w:b/>
              </w:rPr>
              <w:t>aron en la conferencia vespertina</w:t>
            </w:r>
            <w:r w:rsidRPr="002E3820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7931" w:type="dxa"/>
            <w:vAlign w:val="center"/>
          </w:tcPr>
          <w:p w14:paraId="2C3F8596" w14:textId="4DE28048" w:rsidR="00FD7D35" w:rsidRDefault="003824FA" w:rsidP="001E68BC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Dr.</w:t>
            </w:r>
            <w:r w:rsidR="00FD7D35">
              <w:rPr>
                <w:rFonts w:ascii="Arial Narrow" w:eastAsia="Arial" w:hAnsi="Arial Narrow" w:cs="Arial"/>
              </w:rPr>
              <w:t xml:space="preserve"> Hugo López Gatell – Subsecretario de </w:t>
            </w:r>
            <w:r w:rsidR="00AB503F">
              <w:rPr>
                <w:rFonts w:ascii="Arial Narrow" w:eastAsia="Arial" w:hAnsi="Arial Narrow" w:cs="Arial"/>
              </w:rPr>
              <w:t>P</w:t>
            </w:r>
            <w:r w:rsidR="00FD7D35">
              <w:rPr>
                <w:rFonts w:ascii="Arial Narrow" w:eastAsia="Arial" w:hAnsi="Arial Narrow" w:cs="Arial"/>
              </w:rPr>
              <w:t xml:space="preserve">revención y </w:t>
            </w:r>
            <w:r w:rsidR="00AB503F">
              <w:rPr>
                <w:rFonts w:ascii="Arial Narrow" w:eastAsia="Arial" w:hAnsi="Arial Narrow" w:cs="Arial"/>
              </w:rPr>
              <w:t>P</w:t>
            </w:r>
            <w:r w:rsidR="00FD7D35">
              <w:rPr>
                <w:rFonts w:ascii="Arial Narrow" w:eastAsia="Arial" w:hAnsi="Arial Narrow" w:cs="Arial"/>
              </w:rPr>
              <w:t xml:space="preserve">romoción de la </w:t>
            </w:r>
            <w:r w:rsidR="00AB503F">
              <w:rPr>
                <w:rFonts w:ascii="Arial Narrow" w:eastAsia="Arial" w:hAnsi="Arial Narrow" w:cs="Arial"/>
              </w:rPr>
              <w:t>S</w:t>
            </w:r>
            <w:r w:rsidR="00FD7D35">
              <w:rPr>
                <w:rFonts w:ascii="Arial Narrow" w:eastAsia="Arial" w:hAnsi="Arial Narrow" w:cs="Arial"/>
              </w:rPr>
              <w:t>alud</w:t>
            </w:r>
            <w:r w:rsidR="00D57F54">
              <w:rPr>
                <w:rFonts w:ascii="Arial Narrow" w:eastAsia="Arial" w:hAnsi="Arial Narrow" w:cs="Arial"/>
              </w:rPr>
              <w:t xml:space="preserve">. </w:t>
            </w:r>
          </w:p>
          <w:p w14:paraId="5E68C5E5" w14:textId="5260C5F5" w:rsidR="00D57F54" w:rsidRDefault="00D57F54" w:rsidP="00D57F54">
            <w:pPr>
              <w:pStyle w:val="Prrafodelista"/>
              <w:spacing w:line="276" w:lineRule="auto"/>
              <w:ind w:left="36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Especialistas:</w:t>
            </w:r>
          </w:p>
          <w:p w14:paraId="0F9B3D31" w14:textId="12717AA9" w:rsidR="003955A0" w:rsidRDefault="00FD7D35" w:rsidP="001E68BC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Dr. </w:t>
            </w:r>
            <w:r w:rsidR="0090162A">
              <w:rPr>
                <w:rFonts w:ascii="Arial Narrow" w:eastAsia="Arial" w:hAnsi="Arial Narrow" w:cs="Arial"/>
              </w:rPr>
              <w:t>Gustavo Reyes Ter</w:t>
            </w:r>
            <w:r w:rsidR="00CA70C4">
              <w:rPr>
                <w:rFonts w:ascii="Arial Narrow" w:eastAsia="Arial" w:hAnsi="Arial Narrow" w:cs="Arial"/>
              </w:rPr>
              <w:t>á</w:t>
            </w:r>
            <w:r w:rsidR="0090162A">
              <w:rPr>
                <w:rFonts w:ascii="Arial Narrow" w:eastAsia="Arial" w:hAnsi="Arial Narrow" w:cs="Arial"/>
              </w:rPr>
              <w:t xml:space="preserve">n </w:t>
            </w:r>
          </w:p>
          <w:p w14:paraId="6FF60299" w14:textId="00162621" w:rsidR="0090162A" w:rsidRDefault="00FD7D35" w:rsidP="001E68BC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Dr. </w:t>
            </w:r>
            <w:r w:rsidR="0090162A">
              <w:rPr>
                <w:rFonts w:ascii="Arial Narrow" w:eastAsia="Arial" w:hAnsi="Arial Narrow" w:cs="Arial"/>
              </w:rPr>
              <w:t xml:space="preserve">José Luis </w:t>
            </w:r>
            <w:proofErr w:type="spellStart"/>
            <w:r w:rsidR="0090162A">
              <w:rPr>
                <w:rFonts w:ascii="Arial Narrow" w:eastAsia="Arial" w:hAnsi="Arial Narrow" w:cs="Arial"/>
              </w:rPr>
              <w:t>Alomía</w:t>
            </w:r>
            <w:proofErr w:type="spellEnd"/>
            <w:r w:rsidR="00D57F54">
              <w:rPr>
                <w:rFonts w:ascii="Arial Narrow" w:eastAsia="Arial" w:hAnsi="Arial Narrow" w:cs="Arial"/>
              </w:rPr>
              <w:t xml:space="preserve"> </w:t>
            </w:r>
          </w:p>
          <w:p w14:paraId="5F0AC986" w14:textId="68321078" w:rsidR="00BE551D" w:rsidRPr="003824FA" w:rsidRDefault="00BE551D" w:rsidP="00D57F54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Dr. V</w:t>
            </w:r>
            <w:r w:rsidR="00CA70C4">
              <w:rPr>
                <w:rFonts w:ascii="Arial Narrow" w:eastAsia="Arial" w:hAnsi="Arial Narrow" w:cs="Arial"/>
              </w:rPr>
              <w:t>í</w:t>
            </w:r>
            <w:r>
              <w:rPr>
                <w:rFonts w:ascii="Arial Narrow" w:eastAsia="Arial" w:hAnsi="Arial Narrow" w:cs="Arial"/>
              </w:rPr>
              <w:t xml:space="preserve">ctor </w:t>
            </w:r>
            <w:r w:rsidR="00FD7D35">
              <w:rPr>
                <w:rFonts w:ascii="Arial Narrow" w:eastAsia="Arial" w:hAnsi="Arial Narrow" w:cs="Arial"/>
              </w:rPr>
              <w:t xml:space="preserve">Borja </w:t>
            </w:r>
          </w:p>
        </w:tc>
      </w:tr>
    </w:tbl>
    <w:p w14:paraId="0F9BD2A6" w14:textId="747CB8CE" w:rsidR="002E3820" w:rsidRDefault="002E3820" w:rsidP="002E3820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2692F58" w14:textId="5BA4C042" w:rsidR="0086774D" w:rsidRDefault="0086774D" w:rsidP="003824FA"/>
    <w:sectPr w:rsidR="0086774D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56E3F" w14:textId="77777777" w:rsidR="000B3ED9" w:rsidRDefault="000B3ED9" w:rsidP="0044053B">
      <w:pPr>
        <w:spacing w:after="0" w:line="240" w:lineRule="auto"/>
      </w:pPr>
      <w:r>
        <w:separator/>
      </w:r>
    </w:p>
  </w:endnote>
  <w:endnote w:type="continuationSeparator" w:id="0">
    <w:p w14:paraId="3CCBC8C8" w14:textId="77777777" w:rsidR="000B3ED9" w:rsidRDefault="000B3ED9" w:rsidP="004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01263" w14:textId="3FA2979A" w:rsidR="00D67A48" w:rsidRDefault="00D67A48" w:rsidP="00D57F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6"/>
        <w:szCs w:val="16"/>
      </w:rPr>
    </w:pPr>
    <w:r>
      <w:rPr>
        <w:sz w:val="16"/>
        <w:szCs w:val="16"/>
      </w:rPr>
      <w:t>SAVC DEAEE</w:t>
    </w:r>
    <w:r>
      <w:rPr>
        <w:color w:val="000000"/>
        <w:sz w:val="16"/>
        <w:szCs w:val="16"/>
      </w:rPr>
      <w:t xml:space="preserve"> </w:t>
    </w:r>
  </w:p>
  <w:p w14:paraId="327E40D9" w14:textId="7766C338" w:rsidR="00D67A48" w:rsidRDefault="00D67A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6"/>
        <w:szCs w:val="16"/>
      </w:rPr>
    </w:pPr>
    <w:r>
      <w:rPr>
        <w:sz w:val="16"/>
        <w:szCs w:val="16"/>
      </w:rPr>
      <w:t>20200324</w:t>
    </w:r>
  </w:p>
  <w:p w14:paraId="308A995A" w14:textId="0ABD38BA" w:rsidR="00D67A48" w:rsidRDefault="00D67A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smallCaps/>
        <w:color w:val="5B9BD5"/>
      </w:rPr>
    </w:pPr>
    <w:r>
      <w:rPr>
        <w:color w:val="000000"/>
        <w:sz w:val="16"/>
        <w:szCs w:val="16"/>
      </w:rPr>
      <w:t>V</w:t>
    </w:r>
    <w:r w:rsidR="00570CD5">
      <w:rPr>
        <w:color w:val="000000"/>
        <w:sz w:val="16"/>
        <w:szCs w:val="16"/>
      </w:rPr>
      <w:t>2</w:t>
    </w:r>
  </w:p>
  <w:p w14:paraId="5029E756" w14:textId="77777777" w:rsidR="00D67A48" w:rsidRDefault="00D67A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smallCaps/>
        <w:color w:val="5B9BD5"/>
      </w:rPr>
    </w:pPr>
  </w:p>
  <w:p w14:paraId="729CBFAE" w14:textId="77777777" w:rsidR="00D67A48" w:rsidRDefault="00D67A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smallCaps/>
        <w:color w:val="5B9BD5"/>
      </w:rPr>
    </w:pPr>
    <w:r>
      <w:rPr>
        <w:smallCaps/>
        <w:color w:val="5B9BD5"/>
      </w:rPr>
      <w:fldChar w:fldCharType="begin"/>
    </w:r>
    <w:r>
      <w:rPr>
        <w:smallCaps/>
        <w:color w:val="5B9BD5"/>
      </w:rPr>
      <w:instrText>PAGE</w:instrText>
    </w:r>
    <w:r>
      <w:rPr>
        <w:smallCaps/>
        <w:color w:val="5B9BD5"/>
      </w:rPr>
      <w:fldChar w:fldCharType="separate"/>
    </w:r>
    <w:r w:rsidR="00570CD5">
      <w:rPr>
        <w:smallCaps/>
        <w:noProof/>
        <w:color w:val="5B9BD5"/>
      </w:rPr>
      <w:t>1</w:t>
    </w:r>
    <w:r>
      <w:rPr>
        <w:smallCaps/>
        <w:color w:val="5B9BD5"/>
      </w:rPr>
      <w:fldChar w:fldCharType="end"/>
    </w:r>
  </w:p>
  <w:p w14:paraId="02727691" w14:textId="77777777" w:rsidR="00D67A48" w:rsidRDefault="00D67A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hidden="0" allowOverlap="1" wp14:anchorId="5A7A30A4" wp14:editId="1CA8FA44">
          <wp:simplePos x="0" y="0"/>
          <wp:positionH relativeFrom="column">
            <wp:posOffset>-850900</wp:posOffset>
          </wp:positionH>
          <wp:positionV relativeFrom="paragraph">
            <wp:posOffset>175895</wp:posOffset>
          </wp:positionV>
          <wp:extent cx="7673975" cy="401955"/>
          <wp:effectExtent l="0" t="0" r="0" b="0"/>
          <wp:wrapSquare wrapText="bothSides" distT="0" distB="0" distL="114300" distR="114300"/>
          <wp:docPr id="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9643" b="23838"/>
                  <a:stretch>
                    <a:fillRect/>
                  </a:stretch>
                </pic:blipFill>
                <pic:spPr>
                  <a:xfrm>
                    <a:off x="0" y="0"/>
                    <a:ext cx="7673975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7DAC6" w14:textId="77777777" w:rsidR="000B3ED9" w:rsidRDefault="000B3ED9" w:rsidP="0044053B">
      <w:pPr>
        <w:spacing w:after="0" w:line="240" w:lineRule="auto"/>
      </w:pPr>
      <w:r>
        <w:separator/>
      </w:r>
    </w:p>
  </w:footnote>
  <w:footnote w:type="continuationSeparator" w:id="0">
    <w:p w14:paraId="26242E6F" w14:textId="77777777" w:rsidR="000B3ED9" w:rsidRDefault="000B3ED9" w:rsidP="004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7F1C5" w14:textId="77777777" w:rsidR="00D67A48" w:rsidRDefault="00D67A48">
    <w:pPr>
      <w:spacing w:before="120" w:after="0" w:line="240" w:lineRule="auto"/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 wp14:anchorId="55297D0B" wp14:editId="33AEF859">
          <wp:simplePos x="0" y="0"/>
          <wp:positionH relativeFrom="column">
            <wp:posOffset>-525145</wp:posOffset>
          </wp:positionH>
          <wp:positionV relativeFrom="paragraph">
            <wp:posOffset>-111125</wp:posOffset>
          </wp:positionV>
          <wp:extent cx="1062355" cy="503555"/>
          <wp:effectExtent l="0" t="0" r="4445" b="0"/>
          <wp:wrapNone/>
          <wp:docPr id="6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18030"/>
                  <a:stretch>
                    <a:fillRect/>
                  </a:stretch>
                </pic:blipFill>
                <pic:spPr>
                  <a:xfrm>
                    <a:off x="0" y="0"/>
                    <a:ext cx="106235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Black" w:eastAsia="Arial Black" w:hAnsi="Arial Black" w:cs="Arial Black"/>
        <w:color w:val="4597A1"/>
        <w:sz w:val="18"/>
        <w:szCs w:val="18"/>
      </w:rPr>
      <w:t>Instituto de Transparencia, Acceso a la Información Pública,</w:t>
    </w:r>
  </w:p>
  <w:p w14:paraId="0F62FB78" w14:textId="77777777" w:rsidR="00D67A48" w:rsidRDefault="00D67A48">
    <w:pPr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  <w:r>
      <w:rPr>
        <w:rFonts w:ascii="Arial Black" w:eastAsia="Arial Black" w:hAnsi="Arial Black" w:cs="Arial Black"/>
        <w:color w:val="4597A1"/>
        <w:sz w:val="18"/>
        <w:szCs w:val="18"/>
      </w:rPr>
      <w:t>Protección de Datos Personales y Rendición de Cuentas de la Ciudad de México</w:t>
    </w:r>
  </w:p>
  <w:p w14:paraId="6355E975" w14:textId="77777777" w:rsidR="00D67A48" w:rsidRDefault="00D67A48">
    <w:pPr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463DDD"/>
    <w:multiLevelType w:val="hybridMultilevel"/>
    <w:tmpl w:val="EB6AEE9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20"/>
    <w:rsid w:val="000134C6"/>
    <w:rsid w:val="00077C98"/>
    <w:rsid w:val="0009429D"/>
    <w:rsid w:val="000B3ED9"/>
    <w:rsid w:val="0016166F"/>
    <w:rsid w:val="001E68BC"/>
    <w:rsid w:val="002928A6"/>
    <w:rsid w:val="002B105E"/>
    <w:rsid w:val="002E3820"/>
    <w:rsid w:val="002F5BD5"/>
    <w:rsid w:val="00304E7F"/>
    <w:rsid w:val="003605F4"/>
    <w:rsid w:val="003824FA"/>
    <w:rsid w:val="003955A0"/>
    <w:rsid w:val="00401E41"/>
    <w:rsid w:val="0044053B"/>
    <w:rsid w:val="00503CAF"/>
    <w:rsid w:val="00506B48"/>
    <w:rsid w:val="00570CD5"/>
    <w:rsid w:val="00592776"/>
    <w:rsid w:val="005A10B0"/>
    <w:rsid w:val="005F526D"/>
    <w:rsid w:val="00676750"/>
    <w:rsid w:val="006B17DF"/>
    <w:rsid w:val="00854876"/>
    <w:rsid w:val="0086774D"/>
    <w:rsid w:val="008C6E19"/>
    <w:rsid w:val="0090162A"/>
    <w:rsid w:val="00A55B69"/>
    <w:rsid w:val="00AB3982"/>
    <w:rsid w:val="00AB503F"/>
    <w:rsid w:val="00AC2D02"/>
    <w:rsid w:val="00AD444C"/>
    <w:rsid w:val="00B17447"/>
    <w:rsid w:val="00BE551D"/>
    <w:rsid w:val="00C126B8"/>
    <w:rsid w:val="00C16596"/>
    <w:rsid w:val="00C50C93"/>
    <w:rsid w:val="00CA70C4"/>
    <w:rsid w:val="00CD379E"/>
    <w:rsid w:val="00D57F54"/>
    <w:rsid w:val="00D67A48"/>
    <w:rsid w:val="00D730DC"/>
    <w:rsid w:val="00E04994"/>
    <w:rsid w:val="00F76AA7"/>
    <w:rsid w:val="00FD74CA"/>
    <w:rsid w:val="00FD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CA4CB"/>
  <w15:docId w15:val="{0A5DD05A-8B6C-4DA4-840E-F0A45E11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20"/>
    <w:rPr>
      <w:rFonts w:ascii="Calibri" w:eastAsia="Calibri" w:hAnsi="Calibri" w:cs="Calibri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E382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rsid w:val="002E382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405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53B"/>
    <w:rPr>
      <w:rFonts w:ascii="Calibri" w:eastAsia="Calibri" w:hAnsi="Calibri" w:cs="Calibri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3955A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7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68B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8BC"/>
    <w:rPr>
      <w:rFonts w:ascii="Lucida Grande" w:eastAsia="Calibri" w:hAnsi="Lucida Grande" w:cs="Lucida Grande"/>
      <w:sz w:val="18"/>
      <w:szCs w:val="18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E82295-6EA6-4A0F-9C04-3A7E3E27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Sonia Quintana Martínez</cp:lastModifiedBy>
  <cp:revision>2</cp:revision>
  <dcterms:created xsi:type="dcterms:W3CDTF">2020-04-01T17:23:00Z</dcterms:created>
  <dcterms:modified xsi:type="dcterms:W3CDTF">2020-04-01T17:23:00Z</dcterms:modified>
</cp:coreProperties>
</file>